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64" w:rsidRPr="00EE1264" w:rsidRDefault="00EE1264" w:rsidP="00EE1264">
      <w:bookmarkStart w:id="0" w:name="_GoBack"/>
      <w:bookmarkEnd w:id="0"/>
    </w:p>
    <w:p w:rsidR="000749AE" w:rsidRDefault="00D3317D" w:rsidP="00D86522">
      <w:pPr>
        <w:rPr>
          <w:rFonts w:ascii="Times New Roman" w:hAnsi="Times New Roman" w:cs="Times New Roman"/>
          <w:b/>
          <w:sz w:val="32"/>
          <w:szCs w:val="32"/>
        </w:rPr>
      </w:pPr>
      <w:r>
        <w:rPr>
          <w:rFonts w:ascii="Times New Roman" w:hAnsi="Times New Roman" w:cs="Times New Roman"/>
          <w:b/>
          <w:sz w:val="32"/>
          <w:szCs w:val="32"/>
        </w:rPr>
        <w:t>Change of Ownership of License – COMAR 10.62.08, 10.62.19, 10.62.25</w:t>
      </w:r>
    </w:p>
    <w:p w:rsidR="00523E0A" w:rsidRDefault="00BF5A19" w:rsidP="00523E0A">
      <w:pPr>
        <w:rPr>
          <w:rFonts w:ascii="Times New Roman" w:hAnsi="Times New Roman" w:cs="Times New Roman"/>
          <w:b/>
          <w:sz w:val="24"/>
          <w:szCs w:val="24"/>
        </w:rPr>
      </w:pPr>
      <w:r w:rsidRPr="00BF5A19">
        <w:rPr>
          <w:rFonts w:ascii="Times New Roman" w:hAnsi="Times New Roman" w:cs="Times New Roman"/>
          <w:b/>
          <w:sz w:val="24"/>
          <w:szCs w:val="24"/>
        </w:rPr>
        <w:t xml:space="preserve">Summary of Proposed Amendment: </w:t>
      </w:r>
    </w:p>
    <w:p w:rsidR="004E500F" w:rsidRDefault="00D3317D" w:rsidP="00D3317D">
      <w:pPr>
        <w:pStyle w:val="ListParagraph"/>
        <w:numPr>
          <w:ilvl w:val="0"/>
          <w:numId w:val="7"/>
        </w:numPr>
        <w:rPr>
          <w:rFonts w:ascii="Century Schoolbook" w:hAnsi="Century Schoolbook" w:cs="Arial"/>
          <w:bCs/>
          <w:color w:val="333333"/>
          <w:sz w:val="24"/>
          <w:szCs w:val="24"/>
          <w:shd w:val="clear" w:color="auto" w:fill="FFFFFF"/>
        </w:rPr>
      </w:pPr>
      <w:r>
        <w:rPr>
          <w:rFonts w:ascii="Times New Roman" w:hAnsi="Times New Roman" w:cs="Times New Roman"/>
          <w:sz w:val="24"/>
          <w:szCs w:val="24"/>
        </w:rPr>
        <w:t>Require the transfer of any interest in a license to be approved by the Commission.</w:t>
      </w:r>
      <w:r>
        <w:rPr>
          <w:rFonts w:ascii="Century Schoolbook" w:hAnsi="Century Schoolbook" w:cs="Arial"/>
          <w:bCs/>
          <w:color w:val="333333"/>
          <w:sz w:val="24"/>
          <w:szCs w:val="24"/>
          <w:shd w:val="clear" w:color="auto" w:fill="FFFFFF"/>
        </w:rPr>
        <w:t xml:space="preserve"> </w:t>
      </w:r>
    </w:p>
    <w:p w:rsidR="00FC4C30" w:rsidRPr="00FC4C30" w:rsidRDefault="00FC4C30" w:rsidP="00FC4C30">
      <w:pPr>
        <w:rPr>
          <w:rFonts w:ascii="Century Schoolbook" w:hAnsi="Century Schoolbook"/>
          <w:b/>
          <w:sz w:val="24"/>
          <w:szCs w:val="24"/>
        </w:rPr>
      </w:pPr>
      <w:r w:rsidRPr="00FC4C30">
        <w:rPr>
          <w:rFonts w:ascii="Century Schoolbook" w:hAnsi="Century Schoolbook"/>
          <w:b/>
          <w:sz w:val="24"/>
          <w:szCs w:val="24"/>
        </w:rPr>
        <w:t>In Effect</w:t>
      </w:r>
    </w:p>
    <w:p w:rsidR="0022600E" w:rsidRPr="00D01808" w:rsidRDefault="00D01808" w:rsidP="00F56B48">
      <w:pPr>
        <w:rPr>
          <w:rFonts w:ascii="Century Schoolbook" w:hAnsi="Century Schoolbook"/>
          <w:b/>
          <w:sz w:val="24"/>
          <w:szCs w:val="24"/>
        </w:rPr>
      </w:pPr>
      <w:r w:rsidRPr="00D01808">
        <w:rPr>
          <w:rFonts w:ascii="Century Schoolbook" w:hAnsi="Century Schoolbook"/>
          <w:b/>
          <w:sz w:val="24"/>
          <w:szCs w:val="24"/>
        </w:rPr>
        <w:t>10.62.08.08</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A. No interest of 5 percent or more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D01808" w:rsidRPr="00D01808" w:rsidRDefault="00D01808" w:rsidP="00D01808">
      <w:pPr>
        <w:rPr>
          <w:rFonts w:ascii="Century Schoolbook" w:hAnsi="Century Schoolbook"/>
          <w:b/>
          <w:sz w:val="24"/>
          <w:szCs w:val="24"/>
        </w:rPr>
      </w:pPr>
      <w:r w:rsidRPr="00D01808">
        <w:rPr>
          <w:rFonts w:ascii="Century Schoolbook" w:hAnsi="Century Schoolbook"/>
          <w:b/>
          <w:sz w:val="24"/>
          <w:szCs w:val="24"/>
        </w:rPr>
        <w:t>10.62.19.07</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A. No interest of 5 percent or more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D01808" w:rsidRPr="00D01808" w:rsidRDefault="00D01808" w:rsidP="00D01808">
      <w:pPr>
        <w:rPr>
          <w:rFonts w:ascii="Century Schoolbook" w:hAnsi="Century Schoolbook"/>
          <w:b/>
          <w:sz w:val="24"/>
          <w:szCs w:val="24"/>
        </w:rPr>
      </w:pPr>
      <w:r w:rsidRPr="00D01808">
        <w:rPr>
          <w:rFonts w:ascii="Century Schoolbook" w:hAnsi="Century Schoolbook"/>
          <w:b/>
          <w:sz w:val="24"/>
          <w:szCs w:val="24"/>
        </w:rPr>
        <w:t>10.62.25.08</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A. No interest of 5 percent or more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5C7FD7" w:rsidRPr="005C7FD7" w:rsidRDefault="005C7FD7" w:rsidP="00F56B48">
      <w:pPr>
        <w:rPr>
          <w:rFonts w:ascii="Century Schoolbook" w:hAnsi="Century Schoolbook"/>
          <w:b/>
          <w:sz w:val="24"/>
          <w:szCs w:val="24"/>
        </w:rPr>
      </w:pPr>
      <w:r w:rsidRPr="005C7FD7">
        <w:rPr>
          <w:rFonts w:ascii="Century Schoolbook" w:hAnsi="Century Schoolbook"/>
          <w:b/>
          <w:sz w:val="24"/>
          <w:szCs w:val="24"/>
        </w:rPr>
        <w:t xml:space="preserve">Proposed Amendment </w:t>
      </w:r>
    </w:p>
    <w:p w:rsidR="00D01808" w:rsidRPr="00D01808" w:rsidRDefault="002A4DE9" w:rsidP="00D01808">
      <w:pPr>
        <w:rPr>
          <w:rFonts w:ascii="Century Schoolbook" w:hAnsi="Century Schoolbook"/>
          <w:b/>
          <w:caps/>
          <w:sz w:val="24"/>
          <w:szCs w:val="24"/>
        </w:rPr>
      </w:pPr>
      <w:r w:rsidRPr="00D01808">
        <w:rPr>
          <w:rFonts w:ascii="Century Schoolbook" w:hAnsi="Century Schoolbook"/>
          <w:caps/>
          <w:sz w:val="24"/>
          <w:szCs w:val="24"/>
        </w:rPr>
        <w:t xml:space="preserve"> </w:t>
      </w:r>
      <w:r w:rsidR="00D01808" w:rsidRPr="00D01808">
        <w:rPr>
          <w:rFonts w:ascii="Century Schoolbook" w:hAnsi="Century Schoolbook"/>
          <w:b/>
          <w:caps/>
          <w:sz w:val="24"/>
          <w:szCs w:val="24"/>
        </w:rPr>
        <w:t>10.62.08.08</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 xml:space="preserve">A. No interest </w:t>
      </w:r>
      <w:r w:rsidRPr="00D01808">
        <w:rPr>
          <w:rFonts w:ascii="Century Schoolbook" w:hAnsi="Century Schoolbook"/>
          <w:strike/>
          <w:sz w:val="24"/>
          <w:szCs w:val="24"/>
        </w:rPr>
        <w:t>of 5 percent or more</w:t>
      </w:r>
      <w:r w:rsidRPr="00D01808">
        <w:rPr>
          <w:rFonts w:ascii="Century Schoolbook" w:hAnsi="Century Schoolbook"/>
          <w:sz w:val="24"/>
          <w:szCs w:val="24"/>
        </w:rPr>
        <w:t xml:space="preserv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10.62.19.07</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 xml:space="preserve">A. No interest </w:t>
      </w:r>
      <w:r w:rsidRPr="00D01808">
        <w:rPr>
          <w:rFonts w:ascii="Century Schoolbook" w:hAnsi="Century Schoolbook"/>
          <w:strike/>
          <w:sz w:val="24"/>
          <w:szCs w:val="24"/>
        </w:rPr>
        <w:t>of 5 percent or more</w:t>
      </w:r>
      <w:r w:rsidRPr="00D01808">
        <w:rPr>
          <w:rFonts w:ascii="Century Schoolbook" w:hAnsi="Century Schoolbook"/>
          <w:sz w:val="24"/>
          <w:szCs w:val="24"/>
        </w:rPr>
        <w:t xml:space="preserv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10.62.25.08</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 xml:space="preserve">A. No interest </w:t>
      </w:r>
      <w:r w:rsidRPr="00D01808">
        <w:rPr>
          <w:rFonts w:ascii="Century Schoolbook" w:hAnsi="Century Schoolbook"/>
          <w:strike/>
          <w:sz w:val="24"/>
          <w:szCs w:val="24"/>
        </w:rPr>
        <w:t>of 5 percent or more</w:t>
      </w:r>
      <w:r w:rsidRPr="00D01808">
        <w:rPr>
          <w:rFonts w:ascii="Century Schoolbook" w:hAnsi="Century Schoolbook"/>
          <w:sz w:val="24"/>
          <w:szCs w:val="24"/>
        </w:rPr>
        <w:t xml:space="preserve"> of a license issued pursuant to this chapter shall be assignable or transferable unless:</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The Commission has received notice of the intent of the owner of the interest, or of the estate of the owner of the interest, to transfer or assign an interest in a license to another party;</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The transferee has had forwarded the criminal history record information and audited financial statement to the Commission of the transferee;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(3) The Commission does not object to the transfer or assignment within 45 days of its receipt of notice; and</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(4) The transferee has paid the required fee specified in COMAR 10.62.35.</w:t>
      </w:r>
    </w:p>
    <w:p w:rsidR="00D01808" w:rsidRPr="00D01808" w:rsidRDefault="00D01808" w:rsidP="00D01808">
      <w:pPr>
        <w:rPr>
          <w:rFonts w:ascii="Century Schoolbook" w:hAnsi="Century Schoolbook"/>
          <w:sz w:val="24"/>
          <w:szCs w:val="24"/>
        </w:rPr>
      </w:pPr>
      <w:r w:rsidRPr="00D01808">
        <w:rPr>
          <w:rFonts w:ascii="Century Schoolbook" w:hAnsi="Century Schoolbook"/>
          <w:sz w:val="24"/>
          <w:szCs w:val="24"/>
        </w:rPr>
        <w:t>B. The Commission may deny transfer of an interest in a license for any proposed transferee if the:</w:t>
      </w:r>
    </w:p>
    <w:p w:rsidR="00D01808"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(1) Criminal history record information or the background investigation demonstrate an absence of good moral character; or</w:t>
      </w:r>
    </w:p>
    <w:p w:rsidR="00D93370" w:rsidRPr="00D01808" w:rsidRDefault="00D15CA6" w:rsidP="00D01808">
      <w:pPr>
        <w:rPr>
          <w:rFonts w:ascii="Century Schoolbook" w:hAnsi="Century Schoolbook"/>
          <w:sz w:val="24"/>
          <w:szCs w:val="24"/>
        </w:rPr>
      </w:pPr>
      <w:r>
        <w:rPr>
          <w:rFonts w:ascii="Century Schoolbook" w:hAnsi="Century Schoolbook"/>
          <w:sz w:val="24"/>
          <w:szCs w:val="24"/>
        </w:rPr>
        <w:tab/>
      </w:r>
      <w:r w:rsidR="00D01808" w:rsidRPr="00D01808">
        <w:rPr>
          <w:rFonts w:ascii="Century Schoolbook" w:hAnsi="Century Schoolbook"/>
          <w:sz w:val="24"/>
          <w:szCs w:val="24"/>
        </w:rPr>
        <w:t>(2) Payment of taxes due in any jurisdiction is in arrears.</w:t>
      </w:r>
    </w:p>
    <w:p w:rsidR="00EA5C39" w:rsidRPr="00FC4C30" w:rsidRDefault="00D93370" w:rsidP="002F4436">
      <w:pPr>
        <w:rPr>
          <w:rFonts w:ascii="Century Schoolbook" w:hAnsi="Century Schoolbook"/>
          <w:sz w:val="24"/>
          <w:szCs w:val="24"/>
        </w:rPr>
      </w:pPr>
      <w:r>
        <w:rPr>
          <w:rFonts w:ascii="Century Schoolbook" w:hAnsi="Century Schoolbook"/>
          <w:i/>
          <w:sz w:val="24"/>
          <w:szCs w:val="24"/>
        </w:rPr>
        <w:tab/>
      </w:r>
      <w:r w:rsidR="00EA5C39">
        <w:rPr>
          <w:rFonts w:ascii="Century Schoolbook" w:hAnsi="Century Schoolbook"/>
          <w:i/>
          <w:sz w:val="24"/>
          <w:szCs w:val="24"/>
        </w:rPr>
        <w:t xml:space="preserve"> </w:t>
      </w:r>
    </w:p>
    <w:p w:rsidR="00FC4C30" w:rsidRPr="00FC4C30" w:rsidRDefault="00FC4C30" w:rsidP="00FC4C30">
      <w:pPr>
        <w:rPr>
          <w:rFonts w:ascii="Century Schoolbook" w:hAnsi="Century Schoolbook"/>
          <w:b/>
          <w:sz w:val="24"/>
          <w:szCs w:val="24"/>
        </w:rPr>
      </w:pPr>
    </w:p>
    <w:p w:rsidR="00D77030" w:rsidRPr="00FC4C30" w:rsidRDefault="00D77030" w:rsidP="008E7449">
      <w:pPr>
        <w:rPr>
          <w:rFonts w:ascii="Century Schoolbook" w:hAnsi="Century Schoolbook"/>
          <w:sz w:val="24"/>
          <w:szCs w:val="24"/>
        </w:rPr>
      </w:pPr>
    </w:p>
    <w:sectPr w:rsidR="00D77030" w:rsidRPr="00FC4C30" w:rsidSect="00D86522">
      <w:headerReference w:type="default" r:id="rId7"/>
      <w:footerReference w:type="default" r:id="rId8"/>
      <w:headerReference w:type="first" r:id="rId9"/>
      <w:footerReference w:type="first" r:id="rId10"/>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22" w:rsidRDefault="00916322" w:rsidP="00E7707F">
      <w:pPr>
        <w:spacing w:after="0" w:line="240" w:lineRule="auto"/>
      </w:pPr>
      <w:r>
        <w:separator/>
      </w:r>
    </w:p>
  </w:endnote>
  <w:endnote w:type="continuationSeparator" w:id="0">
    <w:p w:rsidR="00916322" w:rsidRDefault="00916322" w:rsidP="00E7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091538"/>
      <w:docPartObj>
        <w:docPartGallery w:val="Page Numbers (Bottom of Page)"/>
        <w:docPartUnique/>
      </w:docPartObj>
    </w:sdtPr>
    <w:sdtEndPr>
      <w:rPr>
        <w:noProof/>
      </w:rPr>
    </w:sdtEndPr>
    <w:sdtContent>
      <w:p w:rsidR="00D63E84" w:rsidRDefault="00D63E84">
        <w:pPr>
          <w:pStyle w:val="Footer"/>
          <w:jc w:val="center"/>
        </w:pPr>
        <w:r>
          <w:fldChar w:fldCharType="begin"/>
        </w:r>
        <w:r>
          <w:instrText xml:space="preserve"> PAGE   \* MERGEFORMAT </w:instrText>
        </w:r>
        <w:r>
          <w:fldChar w:fldCharType="separate"/>
        </w:r>
        <w:r w:rsidR="007D5D2E">
          <w:rPr>
            <w:noProof/>
          </w:rPr>
          <w:t>4</w:t>
        </w:r>
        <w:r>
          <w:rPr>
            <w:noProof/>
          </w:rPr>
          <w:fldChar w:fldCharType="end"/>
        </w:r>
      </w:p>
    </w:sdtContent>
  </w:sdt>
  <w:p w:rsidR="00FC57E2" w:rsidRPr="00521C9A" w:rsidRDefault="00FC57E2" w:rsidP="00FC57E2">
    <w:pPr>
      <w:tabs>
        <w:tab w:val="center" w:pos="4680"/>
        <w:tab w:val="right" w:pos="9360"/>
      </w:tabs>
      <w:spacing w:after="0" w:line="240" w:lineRule="auto"/>
      <w:jc w:val="center"/>
      <w:rPr>
        <w:rFonts w:ascii="Times New Roman" w:eastAsia="Merriweather" w:hAnsi="Times New Roman" w:cs="Merriweather"/>
        <w:color w:val="808080" w:themeColor="background1" w:themeShade="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30" w:rsidRDefault="00D77030" w:rsidP="00D77030">
    <w:pPr>
      <w:tabs>
        <w:tab w:val="center" w:pos="4680"/>
        <w:tab w:val="right" w:pos="9360"/>
      </w:tabs>
      <w:spacing w:after="0" w:line="240" w:lineRule="auto"/>
      <w:jc w:val="center"/>
      <w:rPr>
        <w:rFonts w:ascii="Times New Roman" w:eastAsia="Merriweather" w:hAnsi="Times New Roman" w:cs="Merriweather"/>
        <w:color w:val="808080" w:themeColor="background1" w:themeShade="80"/>
        <w:sz w:val="20"/>
        <w:szCs w:val="20"/>
      </w:rPr>
    </w:pPr>
  </w:p>
  <w:p w:rsidR="00D77030" w:rsidRPr="00521C9A" w:rsidRDefault="00D77030" w:rsidP="00D77030">
    <w:pPr>
      <w:tabs>
        <w:tab w:val="center" w:pos="4680"/>
        <w:tab w:val="right" w:pos="9360"/>
      </w:tabs>
      <w:spacing w:after="0" w:line="240" w:lineRule="auto"/>
      <w:jc w:val="center"/>
      <w:rPr>
        <w:rFonts w:ascii="Times New Roman" w:eastAsia="Merriweather" w:hAnsi="Times New Roman" w:cs="Merriweather"/>
        <w:color w:val="808080" w:themeColor="background1" w:themeShade="80"/>
        <w:sz w:val="20"/>
        <w:szCs w:val="20"/>
      </w:rPr>
    </w:pPr>
    <w:r w:rsidRPr="00521C9A">
      <w:rPr>
        <w:rFonts w:ascii="Times New Roman" w:eastAsia="Merriweather" w:hAnsi="Times New Roman" w:cs="Merriweather"/>
        <w:color w:val="808080" w:themeColor="background1" w:themeShade="80"/>
        <w:sz w:val="20"/>
        <w:szCs w:val="20"/>
      </w:rPr>
      <w:t>849 International Drive, Suite 450, Linthicum, Maryland 21090</w:t>
    </w:r>
  </w:p>
  <w:p w:rsidR="00D77030" w:rsidRPr="00521C9A" w:rsidRDefault="00D77030" w:rsidP="00D77030">
    <w:pPr>
      <w:tabs>
        <w:tab w:val="center" w:pos="4680"/>
        <w:tab w:val="right" w:pos="9360"/>
      </w:tabs>
      <w:spacing w:after="0" w:line="240" w:lineRule="auto"/>
      <w:jc w:val="center"/>
      <w:rPr>
        <w:rFonts w:ascii="Times New Roman" w:eastAsia="Merriweather" w:hAnsi="Times New Roman" w:cs="Merriweather"/>
        <w:color w:val="808080" w:themeColor="background1" w:themeShade="80"/>
        <w:sz w:val="20"/>
        <w:szCs w:val="20"/>
      </w:rPr>
    </w:pPr>
    <w:r w:rsidRPr="00521C9A">
      <w:rPr>
        <w:rFonts w:ascii="Times New Roman" w:eastAsia="Merriweather" w:hAnsi="Times New Roman" w:cs="Merriweather"/>
        <w:color w:val="808080" w:themeColor="background1" w:themeShade="80"/>
        <w:sz w:val="20"/>
        <w:szCs w:val="20"/>
      </w:rPr>
      <w:t xml:space="preserve">Phone: 410-487-8100 </w:t>
    </w:r>
    <w:r w:rsidRPr="00521C9A">
      <w:rPr>
        <w:rFonts w:ascii="Times New Roman" w:eastAsia="Merriweather" w:hAnsi="Times New Roman" w:cs="Times New Roman"/>
        <w:color w:val="808080" w:themeColor="background1" w:themeShade="80"/>
        <w:sz w:val="20"/>
        <w:szCs w:val="20"/>
      </w:rPr>
      <w:t>•</w:t>
    </w:r>
    <w:r w:rsidRPr="00521C9A">
      <w:rPr>
        <w:rFonts w:ascii="Times New Roman" w:eastAsia="Merriweather" w:hAnsi="Times New Roman" w:cs="Merriweather"/>
        <w:color w:val="808080" w:themeColor="background1" w:themeShade="80"/>
        <w:sz w:val="20"/>
        <w:szCs w:val="20"/>
      </w:rPr>
      <w:t xml:space="preserve"> Fax: 443-681-1033</w:t>
    </w:r>
  </w:p>
  <w:p w:rsidR="00D77030" w:rsidRPr="00D77030" w:rsidRDefault="00D77030" w:rsidP="00D77030">
    <w:pPr>
      <w:tabs>
        <w:tab w:val="center" w:pos="4680"/>
        <w:tab w:val="right" w:pos="9360"/>
      </w:tabs>
      <w:spacing w:after="0" w:line="240" w:lineRule="auto"/>
      <w:jc w:val="center"/>
      <w:rPr>
        <w:rFonts w:ascii="Times New Roman" w:eastAsia="Merriweather" w:hAnsi="Times New Roman" w:cs="Merriweather"/>
        <w:color w:val="808080" w:themeColor="background1" w:themeShade="80"/>
        <w:sz w:val="20"/>
        <w:szCs w:val="20"/>
      </w:rPr>
    </w:pPr>
    <w:r w:rsidRPr="00521C9A">
      <w:rPr>
        <w:rFonts w:ascii="Times New Roman" w:eastAsia="Merriweather" w:hAnsi="Times New Roman" w:cs="Merriweather"/>
        <w:color w:val="808080" w:themeColor="background1" w:themeShade="80"/>
        <w:sz w:val="20"/>
        <w:szCs w:val="20"/>
      </w:rPr>
      <w:t>Website: www.mmcc.maryland.gov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22" w:rsidRDefault="00916322" w:rsidP="00E7707F">
      <w:pPr>
        <w:spacing w:after="0" w:line="240" w:lineRule="auto"/>
      </w:pPr>
      <w:r>
        <w:separator/>
      </w:r>
    </w:p>
  </w:footnote>
  <w:footnote w:type="continuationSeparator" w:id="0">
    <w:p w:rsidR="00916322" w:rsidRDefault="00916322" w:rsidP="00E7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07F" w:rsidRPr="00521C9A" w:rsidRDefault="00E7707F" w:rsidP="00A7303C">
    <w:pPr>
      <w:pStyle w:val="Header"/>
      <w:tabs>
        <w:tab w:val="left" w:pos="1170"/>
      </w:tabs>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30" w:rsidRDefault="00D77030" w:rsidP="00D77030">
    <w:pPr>
      <w:pStyle w:val="Header"/>
    </w:pPr>
    <w:r>
      <w:rPr>
        <w:rFonts w:ascii="Merriweather" w:eastAsia="Merriweather" w:hAnsi="Merriweather" w:cs="Merriweather"/>
        <w:noProof/>
        <w:sz w:val="26"/>
        <w:szCs w:val="26"/>
      </w:rPr>
      <w:drawing>
        <wp:inline distT="0" distB="0" distL="0" distR="0" wp14:anchorId="3D55CEA4" wp14:editId="1FE52B71">
          <wp:extent cx="2200275" cy="10713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CC-logo-Natal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714" cy="1119309"/>
                  </a:xfrm>
                  <a:prstGeom prst="rect">
                    <a:avLst/>
                  </a:prstGeom>
                </pic:spPr>
              </pic:pic>
            </a:graphicData>
          </a:graphic>
        </wp:inline>
      </w:drawing>
    </w:r>
  </w:p>
  <w:p w:rsidR="00D77030" w:rsidRPr="00521C9A" w:rsidRDefault="00D77030" w:rsidP="00D77030">
    <w:pPr>
      <w:pStyle w:val="Header"/>
      <w:tabs>
        <w:tab w:val="left" w:pos="1170"/>
      </w:tabs>
      <w:rPr>
        <w:rFonts w:ascii="Times New Roman" w:hAnsi="Times New Roman"/>
        <w:sz w:val="20"/>
        <w:szCs w:val="20"/>
      </w:rPr>
    </w:pPr>
    <w:r>
      <w:rPr>
        <w:rFonts w:ascii="Times New Roman" w:hAnsi="Times New Roman"/>
        <w:noProof/>
        <w:sz w:val="20"/>
        <w:szCs w:val="20"/>
      </w:rPr>
      <mc:AlternateContent>
        <mc:Choice Requires="wps">
          <w:drawing>
            <wp:anchor distT="4294967295" distB="4294967295" distL="114300" distR="114300" simplePos="0" relativeHeight="251662336" behindDoc="0" locked="1" layoutInCell="1" allowOverlap="1" wp14:anchorId="35C05AEE" wp14:editId="2F6D1DE0">
              <wp:simplePos x="0" y="0"/>
              <wp:positionH relativeFrom="margin">
                <wp:posOffset>938530</wp:posOffset>
              </wp:positionH>
              <wp:positionV relativeFrom="paragraph">
                <wp:posOffset>156845</wp:posOffset>
              </wp:positionV>
              <wp:extent cx="43878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C8A84"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3.9pt,12.35pt" to="419.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N9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5g+zp9kU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">
              <w10:wrap anchorx="margin"/>
              <w10:anchorlock/>
            </v:line>
          </w:pict>
        </mc:Fallback>
      </mc:AlternateContent>
    </w:r>
    <w:r>
      <w:rPr>
        <w:rFonts w:ascii="Times New Roman" w:hAnsi="Times New Roman"/>
        <w:sz w:val="20"/>
        <w:szCs w:val="20"/>
      </w:rPr>
      <w:tab/>
      <w:t xml:space="preserve">      </w:t>
    </w:r>
    <w:r w:rsidRPr="00521C9A">
      <w:rPr>
        <w:rFonts w:ascii="Times New Roman" w:hAnsi="Times New Roman"/>
        <w:sz w:val="20"/>
        <w:szCs w:val="20"/>
      </w:rPr>
      <w:t xml:space="preserve">Larry Hogan, Governor </w:t>
    </w:r>
    <w:r w:rsidRPr="00521C9A">
      <w:rPr>
        <w:rFonts w:ascii="Times New Roman" w:hAnsi="Times New Roman" w:cs="Times New Roman"/>
        <w:sz w:val="20"/>
        <w:szCs w:val="20"/>
      </w:rPr>
      <w:t>•</w:t>
    </w:r>
    <w:r w:rsidRPr="00521C9A">
      <w:rPr>
        <w:rFonts w:ascii="Times New Roman" w:hAnsi="Times New Roman"/>
        <w:sz w:val="20"/>
        <w:szCs w:val="20"/>
      </w:rPr>
      <w:t xml:space="preserve"> Boyd Rutherford, Lt. Governor </w:t>
    </w:r>
    <w:r w:rsidRPr="00521C9A">
      <w:rPr>
        <w:rFonts w:ascii="Times New Roman" w:hAnsi="Times New Roman" w:cs="Times New Roman"/>
        <w:sz w:val="20"/>
        <w:szCs w:val="20"/>
      </w:rPr>
      <w:t xml:space="preserve">• </w:t>
    </w:r>
    <w:r>
      <w:rPr>
        <w:rFonts w:ascii="Times New Roman" w:hAnsi="Times New Roman"/>
        <w:sz w:val="20"/>
        <w:szCs w:val="20"/>
      </w:rPr>
      <w:t>Robert Neall</w:t>
    </w:r>
    <w:r w:rsidRPr="00521C9A">
      <w:rPr>
        <w:rFonts w:ascii="Times New Roman" w:hAnsi="Times New Roman"/>
        <w:sz w:val="20"/>
        <w:szCs w:val="20"/>
      </w:rPr>
      <w:t>, Secretary</w:t>
    </w:r>
  </w:p>
  <w:p w:rsidR="00D77030" w:rsidRDefault="00D7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C00F6"/>
    <w:multiLevelType w:val="hybridMultilevel"/>
    <w:tmpl w:val="2FC4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75AB8"/>
    <w:multiLevelType w:val="hybridMultilevel"/>
    <w:tmpl w:val="0134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3114F"/>
    <w:multiLevelType w:val="hybridMultilevel"/>
    <w:tmpl w:val="8FF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410E6"/>
    <w:multiLevelType w:val="hybridMultilevel"/>
    <w:tmpl w:val="E85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25940"/>
    <w:multiLevelType w:val="hybridMultilevel"/>
    <w:tmpl w:val="53A0BA2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4F565FC0"/>
    <w:multiLevelType w:val="hybridMultilevel"/>
    <w:tmpl w:val="400C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C78A8"/>
    <w:multiLevelType w:val="hybridMultilevel"/>
    <w:tmpl w:val="1A8E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7F"/>
    <w:rsid w:val="00012912"/>
    <w:rsid w:val="00015503"/>
    <w:rsid w:val="000242C0"/>
    <w:rsid w:val="00071EFC"/>
    <w:rsid w:val="000749AE"/>
    <w:rsid w:val="000D2ABD"/>
    <w:rsid w:val="000E699C"/>
    <w:rsid w:val="000F59A4"/>
    <w:rsid w:val="00122B34"/>
    <w:rsid w:val="00164481"/>
    <w:rsid w:val="00193FB8"/>
    <w:rsid w:val="001C7E4A"/>
    <w:rsid w:val="001E7DDB"/>
    <w:rsid w:val="001F605F"/>
    <w:rsid w:val="0022600E"/>
    <w:rsid w:val="00251637"/>
    <w:rsid w:val="002A4DE9"/>
    <w:rsid w:val="002C36EF"/>
    <w:rsid w:val="002E4686"/>
    <w:rsid w:val="002F4436"/>
    <w:rsid w:val="00381EF0"/>
    <w:rsid w:val="003928BE"/>
    <w:rsid w:val="003A6628"/>
    <w:rsid w:val="003E607E"/>
    <w:rsid w:val="0044017B"/>
    <w:rsid w:val="004557F3"/>
    <w:rsid w:val="00477DA4"/>
    <w:rsid w:val="004C7FB7"/>
    <w:rsid w:val="004E500F"/>
    <w:rsid w:val="00521C9A"/>
    <w:rsid w:val="00523E0A"/>
    <w:rsid w:val="005C7FD7"/>
    <w:rsid w:val="005E35B7"/>
    <w:rsid w:val="006068DC"/>
    <w:rsid w:val="0066498A"/>
    <w:rsid w:val="00694F99"/>
    <w:rsid w:val="006C5D99"/>
    <w:rsid w:val="006E6935"/>
    <w:rsid w:val="00784484"/>
    <w:rsid w:val="007C5CA8"/>
    <w:rsid w:val="007D5D2E"/>
    <w:rsid w:val="00893940"/>
    <w:rsid w:val="008B158B"/>
    <w:rsid w:val="008D3EB8"/>
    <w:rsid w:val="008E7449"/>
    <w:rsid w:val="0090426A"/>
    <w:rsid w:val="00916322"/>
    <w:rsid w:val="00994CB0"/>
    <w:rsid w:val="009B28E3"/>
    <w:rsid w:val="009E7566"/>
    <w:rsid w:val="00A108FB"/>
    <w:rsid w:val="00A43C74"/>
    <w:rsid w:val="00A61D8E"/>
    <w:rsid w:val="00A7303C"/>
    <w:rsid w:val="00AA3BCA"/>
    <w:rsid w:val="00AB1D2D"/>
    <w:rsid w:val="00B34BEF"/>
    <w:rsid w:val="00B51DAB"/>
    <w:rsid w:val="00B858E1"/>
    <w:rsid w:val="00B86018"/>
    <w:rsid w:val="00B95E23"/>
    <w:rsid w:val="00BB5446"/>
    <w:rsid w:val="00BC1742"/>
    <w:rsid w:val="00BE0DBC"/>
    <w:rsid w:val="00BF5A19"/>
    <w:rsid w:val="00C16835"/>
    <w:rsid w:val="00C62BA7"/>
    <w:rsid w:val="00CD2815"/>
    <w:rsid w:val="00CF6A62"/>
    <w:rsid w:val="00D01808"/>
    <w:rsid w:val="00D15CA6"/>
    <w:rsid w:val="00D3317D"/>
    <w:rsid w:val="00D51E1E"/>
    <w:rsid w:val="00D63E84"/>
    <w:rsid w:val="00D7484E"/>
    <w:rsid w:val="00D77030"/>
    <w:rsid w:val="00D86522"/>
    <w:rsid w:val="00D93370"/>
    <w:rsid w:val="00DC4FBB"/>
    <w:rsid w:val="00E7707F"/>
    <w:rsid w:val="00E82263"/>
    <w:rsid w:val="00EA0464"/>
    <w:rsid w:val="00EA5C39"/>
    <w:rsid w:val="00EA7E3B"/>
    <w:rsid w:val="00EB0531"/>
    <w:rsid w:val="00EB3DFE"/>
    <w:rsid w:val="00EB5100"/>
    <w:rsid w:val="00EE1264"/>
    <w:rsid w:val="00F21E77"/>
    <w:rsid w:val="00F56B48"/>
    <w:rsid w:val="00F57E64"/>
    <w:rsid w:val="00FA40A4"/>
    <w:rsid w:val="00FC4C30"/>
    <w:rsid w:val="00FC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F571EE-0512-4E77-931D-8FD60E1F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07F"/>
  </w:style>
  <w:style w:type="paragraph" w:styleId="Footer">
    <w:name w:val="footer"/>
    <w:basedOn w:val="Normal"/>
    <w:link w:val="FooterChar"/>
    <w:uiPriority w:val="99"/>
    <w:unhideWhenUsed/>
    <w:rsid w:val="00E77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07F"/>
  </w:style>
  <w:style w:type="paragraph" w:styleId="BalloonText">
    <w:name w:val="Balloon Text"/>
    <w:basedOn w:val="Normal"/>
    <w:link w:val="BalloonTextChar"/>
    <w:uiPriority w:val="99"/>
    <w:semiHidden/>
    <w:unhideWhenUsed/>
    <w:rsid w:val="00606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8DC"/>
    <w:rPr>
      <w:rFonts w:ascii="Segoe UI" w:hAnsi="Segoe UI" w:cs="Segoe UI"/>
      <w:sz w:val="18"/>
      <w:szCs w:val="18"/>
    </w:rPr>
  </w:style>
  <w:style w:type="paragraph" w:styleId="ListParagraph">
    <w:name w:val="List Paragraph"/>
    <w:basedOn w:val="Normal"/>
    <w:uiPriority w:val="34"/>
    <w:qFormat/>
    <w:rsid w:val="000F59A4"/>
    <w:pPr>
      <w:ind w:left="720"/>
      <w:contextualSpacing/>
    </w:pPr>
  </w:style>
  <w:style w:type="character" w:styleId="Hyperlink">
    <w:name w:val="Hyperlink"/>
    <w:basedOn w:val="DefaultParagraphFont"/>
    <w:uiPriority w:val="99"/>
    <w:unhideWhenUsed/>
    <w:rsid w:val="00FA4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CA262-2A8F-40AF-B262-421BA4BA1E8F}"/>
</file>

<file path=customXml/itemProps2.xml><?xml version="1.0" encoding="utf-8"?>
<ds:datastoreItem xmlns:ds="http://schemas.openxmlformats.org/officeDocument/2006/customXml" ds:itemID="{505628D9-60E9-4676-8EE2-CB998FEDDB60}"/>
</file>

<file path=customXml/itemProps3.xml><?xml version="1.0" encoding="utf-8"?>
<ds:datastoreItem xmlns:ds="http://schemas.openxmlformats.org/officeDocument/2006/customXml" ds:itemID="{2270AEC1-5ACA-4EB0-BB4A-9A6491B6FCF0}"/>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FAKIZA RAHMAN</dc:creator>
  <cp:keywords/>
  <dc:description/>
  <cp:lastModifiedBy>JWhite</cp:lastModifiedBy>
  <cp:revision>2</cp:revision>
  <cp:lastPrinted>2018-05-16T18:56:00Z</cp:lastPrinted>
  <dcterms:created xsi:type="dcterms:W3CDTF">2018-05-18T18:50:00Z</dcterms:created>
  <dcterms:modified xsi:type="dcterms:W3CDTF">2018-05-18T18:50:00Z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